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24018" w14:textId="39FEF363" w:rsidR="00E72DE6" w:rsidRPr="00E85731" w:rsidRDefault="00E85731" w:rsidP="00BA79BC">
      <w:pPr>
        <w:jc w:val="center"/>
        <w:rPr>
          <w:rFonts w:ascii="Aptos Display" w:hAnsi="Aptos Display"/>
        </w:rPr>
      </w:pPr>
      <w:r w:rsidRPr="00E85731">
        <w:rPr>
          <w:rFonts w:ascii="Aptos Display" w:hAnsi="Aptos Display"/>
          <w:noProof/>
        </w:rPr>
        <w:drawing>
          <wp:inline distT="0" distB="0" distL="0" distR="0" wp14:anchorId="04CC0186" wp14:editId="7A616E84">
            <wp:extent cx="5061572" cy="1270635"/>
            <wp:effectExtent l="0" t="0" r="0" b="0"/>
            <wp:docPr id="8" name="Image 7" descr="Une image contenant Police, texte, Graphique, graphisme&#10;&#10;Description générée automatiquement">
              <a:extLst xmlns:a="http://schemas.openxmlformats.org/drawingml/2006/main">
                <a:ext uri="{FF2B5EF4-FFF2-40B4-BE49-F238E27FC236}">
                  <a16:creationId xmlns:a16="http://schemas.microsoft.com/office/drawing/2014/main" id="{9A9C7BCC-A726-358E-5F40-513448B247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Une image contenant Police, texte, Graphique, graphisme&#10;&#10;Description générée automatiquement">
                      <a:extLst>
                        <a:ext uri="{FF2B5EF4-FFF2-40B4-BE49-F238E27FC236}">
                          <a16:creationId xmlns:a16="http://schemas.microsoft.com/office/drawing/2014/main" id="{9A9C7BCC-A726-358E-5F40-513448B247E9}"/>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69587" cy="1272647"/>
                    </a:xfrm>
                    <a:prstGeom prst="rect">
                      <a:avLst/>
                    </a:prstGeom>
                  </pic:spPr>
                </pic:pic>
              </a:graphicData>
            </a:graphic>
          </wp:inline>
        </w:drawing>
      </w:r>
    </w:p>
    <w:p w14:paraId="5D51C37D" w14:textId="77777777" w:rsidR="00BA79BC" w:rsidRPr="00E85731" w:rsidRDefault="00BA79BC" w:rsidP="00BA79BC">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ptos Display" w:hAnsi="Aptos Display"/>
          <w:b/>
          <w:sz w:val="28"/>
        </w:rPr>
      </w:pPr>
      <w:r w:rsidRPr="00E85731">
        <w:rPr>
          <w:rFonts w:ascii="Aptos Display" w:hAnsi="Aptos Display"/>
          <w:b/>
          <w:sz w:val="28"/>
        </w:rPr>
        <w:t>CANEVAS</w:t>
      </w:r>
    </w:p>
    <w:p w14:paraId="24C58C78" w14:textId="7C816589" w:rsidR="00BA79BC" w:rsidRPr="00E85731" w:rsidRDefault="00BB6660" w:rsidP="00BA79BC">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ptos Display" w:hAnsi="Aptos Display"/>
          <w:b/>
          <w:sz w:val="28"/>
        </w:rPr>
      </w:pPr>
      <w:r w:rsidRPr="00E85731">
        <w:rPr>
          <w:rFonts w:ascii="Aptos Display" w:hAnsi="Aptos Display"/>
          <w:b/>
          <w:sz w:val="28"/>
        </w:rPr>
        <w:t>MEMOIRE TECHNIQUE</w:t>
      </w:r>
    </w:p>
    <w:p w14:paraId="1378F6C4" w14:textId="03911C7B" w:rsidR="0030029F" w:rsidRPr="00E85731" w:rsidRDefault="00E85731" w:rsidP="00BA79BC">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ptos Display" w:hAnsi="Aptos Display"/>
          <w:b/>
          <w:sz w:val="28"/>
        </w:rPr>
      </w:pPr>
      <w:r w:rsidRPr="00E85731">
        <w:rPr>
          <w:rFonts w:ascii="Aptos Display" w:hAnsi="Aptos Display"/>
          <w:b/>
          <w:sz w:val="28"/>
        </w:rPr>
        <w:t xml:space="preserve">Mission </w:t>
      </w:r>
      <w:r w:rsidR="00130293" w:rsidRPr="00130293">
        <w:rPr>
          <w:rFonts w:ascii="Aptos Display" w:hAnsi="Aptos Display"/>
          <w:b/>
          <w:sz w:val="28"/>
        </w:rPr>
        <w:t>de contrôle technique pour l'ensemble des opérations menées sur le périmètre d'Euroméditerranée </w:t>
      </w:r>
    </w:p>
    <w:p w14:paraId="2BDCADEF" w14:textId="77777777" w:rsidR="00056BF8" w:rsidRPr="00E85731" w:rsidRDefault="00056BF8" w:rsidP="00056BF8">
      <w:pPr>
        <w:rPr>
          <w:rFonts w:ascii="Aptos Display" w:hAnsi="Aptos Display"/>
        </w:rPr>
      </w:pPr>
    </w:p>
    <w:p w14:paraId="06BEA6EA" w14:textId="77777777" w:rsidR="00261D02" w:rsidRDefault="00261D02" w:rsidP="00AA221F">
      <w:pPr>
        <w:shd w:val="clear" w:color="auto" w:fill="FBE4D5" w:themeFill="accent2" w:themeFillTint="33"/>
        <w:jc w:val="both"/>
        <w:rPr>
          <w:rFonts w:ascii="Aptos Display" w:hAnsi="Aptos Display"/>
          <w:color w:val="FF0000"/>
        </w:rPr>
      </w:pPr>
      <w:r w:rsidRPr="00261D02">
        <w:rPr>
          <w:rFonts w:ascii="Aptos Display" w:hAnsi="Aptos Display"/>
          <w:color w:val="FF0000"/>
        </w:rPr>
        <w:t xml:space="preserve">Ce canevas regroupe les éléments requis pour l’offre technique des candidats. Son utilisation est facultative, mais en cas de non-utilisation, toutes les informations demandées doivent figurer dans le document fourni par le candidat. </w:t>
      </w:r>
    </w:p>
    <w:p w14:paraId="7C479B9F" w14:textId="048BEAE3" w:rsidR="00056BF8" w:rsidRPr="00AA221F" w:rsidRDefault="00261D02" w:rsidP="00AA221F">
      <w:pPr>
        <w:shd w:val="clear" w:color="auto" w:fill="FBE4D5" w:themeFill="accent2" w:themeFillTint="33"/>
        <w:jc w:val="both"/>
        <w:rPr>
          <w:rFonts w:ascii="Aptos Display" w:hAnsi="Aptos Display"/>
          <w:color w:val="FF0000"/>
        </w:rPr>
      </w:pPr>
      <w:r w:rsidRPr="00261D02">
        <w:rPr>
          <w:rFonts w:ascii="Aptos Display" w:hAnsi="Aptos Display"/>
          <w:color w:val="FF0000"/>
        </w:rPr>
        <w:t>L'absence de données nécessaires à l'analyse d'un critère entraînera l'irrégularité de l'offre.</w:t>
      </w:r>
    </w:p>
    <w:p w14:paraId="52E48E06" w14:textId="2FEF229B" w:rsidR="00BA79BC" w:rsidRPr="00E85731" w:rsidRDefault="00BA79BC">
      <w:pPr>
        <w:rPr>
          <w:rFonts w:ascii="Aptos Display" w:hAnsi="Aptos Display"/>
        </w:rPr>
      </w:pPr>
    </w:p>
    <w:p w14:paraId="60F24F06" w14:textId="40E0E04D" w:rsidR="00E72DE6" w:rsidRPr="00E85731" w:rsidRDefault="00E85731" w:rsidP="00BA79BC">
      <w:pPr>
        <w:shd w:val="clear" w:color="auto" w:fill="BDD6EE" w:themeFill="accent1" w:themeFillTint="66"/>
        <w:rPr>
          <w:rFonts w:ascii="Aptos Display" w:hAnsi="Aptos Display" w:cs="Arial"/>
          <w:b/>
          <w:bCs/>
        </w:rPr>
      </w:pPr>
      <w:r w:rsidRPr="00E85731">
        <w:rPr>
          <w:rFonts w:ascii="Aptos Display" w:hAnsi="Aptos Display" w:cs="Arial"/>
          <w:b/>
          <w:bCs/>
        </w:rPr>
        <w:t>1</w:t>
      </w:r>
      <w:r w:rsidR="00E72DE6" w:rsidRPr="00E85731">
        <w:rPr>
          <w:rFonts w:ascii="Aptos Display" w:hAnsi="Aptos Display" w:cs="Arial"/>
          <w:b/>
          <w:bCs/>
        </w:rPr>
        <w:t xml:space="preserve"> </w:t>
      </w:r>
      <w:r w:rsidR="005C216D" w:rsidRPr="00E85731">
        <w:rPr>
          <w:rFonts w:ascii="Aptos Display" w:hAnsi="Aptos Display" w:cs="Arial"/>
          <w:b/>
          <w:bCs/>
        </w:rPr>
        <w:t>–</w:t>
      </w:r>
      <w:r w:rsidR="00E72DE6" w:rsidRPr="00E85731">
        <w:rPr>
          <w:rFonts w:ascii="Aptos Display" w:hAnsi="Aptos Display" w:cs="Arial"/>
          <w:b/>
          <w:bCs/>
        </w:rPr>
        <w:t xml:space="preserve"> </w:t>
      </w:r>
      <w:r w:rsidR="00130293">
        <w:rPr>
          <w:rFonts w:ascii="Aptos Display" w:hAnsi="Aptos Display" w:cs="Arial"/>
          <w:b/>
          <w:bCs/>
        </w:rPr>
        <w:t xml:space="preserve">Organisation et moyens humains dédiés à l’exécution de la mission </w:t>
      </w:r>
      <w:r w:rsidRPr="00E85731">
        <w:rPr>
          <w:rFonts w:ascii="Aptos Display" w:hAnsi="Aptos Display" w:cs="Arial"/>
          <w:b/>
          <w:bCs/>
        </w:rPr>
        <w:t xml:space="preserve"> </w:t>
      </w:r>
    </w:p>
    <w:p w14:paraId="2F42CA36" w14:textId="77777777" w:rsidR="00E85731" w:rsidRPr="00E85731" w:rsidRDefault="00E85731" w:rsidP="00643D03">
      <w:pPr>
        <w:spacing w:after="0"/>
        <w:rPr>
          <w:rFonts w:ascii="Aptos Display" w:hAnsi="Aptos Display" w:cs="Arial"/>
          <w:bCs/>
        </w:rPr>
      </w:pPr>
    </w:p>
    <w:p w14:paraId="447FF94B" w14:textId="1D24FE77" w:rsidR="00643D03" w:rsidRPr="00E85731" w:rsidRDefault="00643D03" w:rsidP="00643D03">
      <w:pPr>
        <w:spacing w:after="0"/>
        <w:rPr>
          <w:rFonts w:ascii="Aptos Display" w:hAnsi="Aptos Display" w:cs="Arial"/>
          <w:bCs/>
        </w:rPr>
      </w:pPr>
      <w:r w:rsidRPr="00E85731">
        <w:rPr>
          <w:rFonts w:ascii="Aptos Display" w:hAnsi="Aptos Display" w:cs="Arial"/>
          <w:bCs/>
        </w:rPr>
        <w:t>Le candidat développera les points développés ci-après :</w:t>
      </w:r>
    </w:p>
    <w:p w14:paraId="0BE79E15" w14:textId="77777777" w:rsidR="00BE3F3F" w:rsidRPr="00E85731" w:rsidRDefault="00BE3F3F" w:rsidP="004D2818">
      <w:pPr>
        <w:spacing w:after="0"/>
        <w:jc w:val="both"/>
        <w:rPr>
          <w:rFonts w:ascii="Aptos Display" w:hAnsi="Aptos Display" w:cs="Arial"/>
          <w:bCs/>
        </w:rPr>
      </w:pPr>
    </w:p>
    <w:p w14:paraId="5F4065F8" w14:textId="77777777" w:rsidR="00130293" w:rsidRPr="00130293" w:rsidRDefault="00643D03" w:rsidP="00130293">
      <w:pPr>
        <w:spacing w:after="0"/>
        <w:jc w:val="both"/>
        <w:rPr>
          <w:rFonts w:ascii="Aptos Display" w:hAnsi="Aptos Display" w:cs="Arial"/>
          <w:bCs/>
        </w:rPr>
      </w:pPr>
      <w:r w:rsidRPr="00E85731">
        <w:rPr>
          <w:rFonts w:ascii="Aptos Display" w:hAnsi="Aptos Display" w:cs="Arial"/>
          <w:bCs/>
        </w:rPr>
        <w:t xml:space="preserve">• </w:t>
      </w:r>
      <w:r w:rsidR="00130293" w:rsidRPr="00130293">
        <w:rPr>
          <w:rFonts w:ascii="Aptos Display" w:hAnsi="Aptos Display" w:cs="Arial"/>
          <w:bCs/>
        </w:rPr>
        <w:t>L’organisation de l’équipe dédiée, incluant :</w:t>
      </w:r>
    </w:p>
    <w:p w14:paraId="4494B1A3" w14:textId="77777777" w:rsidR="00130293" w:rsidRPr="00130293" w:rsidRDefault="00130293" w:rsidP="00130293">
      <w:pPr>
        <w:spacing w:after="0"/>
        <w:jc w:val="both"/>
        <w:rPr>
          <w:rFonts w:ascii="Aptos Display" w:hAnsi="Aptos Display" w:cs="Arial"/>
          <w:bCs/>
        </w:rPr>
      </w:pPr>
      <w:r w:rsidRPr="00130293">
        <w:rPr>
          <w:rFonts w:ascii="Aptos Display" w:hAnsi="Aptos Display" w:cs="Arial"/>
          <w:bCs/>
        </w:rPr>
        <w:t>le chef de projet responsable du suivi des opérations,</w:t>
      </w:r>
    </w:p>
    <w:p w14:paraId="176F8C30" w14:textId="77777777" w:rsidR="00130293" w:rsidRPr="00130293" w:rsidRDefault="00130293" w:rsidP="00130293">
      <w:pPr>
        <w:spacing w:after="0"/>
        <w:jc w:val="both"/>
        <w:rPr>
          <w:rFonts w:ascii="Aptos Display" w:hAnsi="Aptos Display" w:cs="Arial"/>
          <w:bCs/>
        </w:rPr>
      </w:pPr>
      <w:r w:rsidRPr="00130293">
        <w:rPr>
          <w:rFonts w:ascii="Aptos Display" w:hAnsi="Aptos Display" w:cs="Arial"/>
          <w:bCs/>
        </w:rPr>
        <w:t>le suppléant,</w:t>
      </w:r>
    </w:p>
    <w:p w14:paraId="2D61DC57" w14:textId="77777777" w:rsidR="00130293" w:rsidRPr="00130293" w:rsidRDefault="00130293" w:rsidP="00130293">
      <w:pPr>
        <w:spacing w:after="0"/>
        <w:jc w:val="both"/>
        <w:rPr>
          <w:rFonts w:ascii="Aptos Display" w:hAnsi="Aptos Display" w:cs="Arial"/>
          <w:bCs/>
        </w:rPr>
      </w:pPr>
      <w:r w:rsidRPr="00130293">
        <w:rPr>
          <w:rFonts w:ascii="Aptos Display" w:hAnsi="Aptos Display" w:cs="Arial"/>
          <w:bCs/>
        </w:rPr>
        <w:t>les ingénieurs responsables des missions spécifiques ;</w:t>
      </w:r>
    </w:p>
    <w:p w14:paraId="485A48F6" w14:textId="1E4EB359" w:rsidR="00BE3F3F" w:rsidRDefault="00130293" w:rsidP="00130293">
      <w:pPr>
        <w:spacing w:after="0"/>
        <w:jc w:val="both"/>
        <w:rPr>
          <w:rFonts w:ascii="Aptos Display" w:hAnsi="Aptos Display" w:cs="Arial"/>
          <w:bCs/>
        </w:rPr>
      </w:pPr>
      <w:r w:rsidRPr="00130293">
        <w:rPr>
          <w:rFonts w:ascii="Aptos Display" w:hAnsi="Aptos Display" w:cs="Arial"/>
          <w:bCs/>
        </w:rPr>
        <w:t>Les qualifications, compétences et expériences professionnelles des intervenants pressentis, appréciées au regard de missions similaires en nature et en complexité (superstructures, notamment ERP, infrastructures, opérations de démolition) ;</w:t>
      </w:r>
    </w:p>
    <w:p w14:paraId="3930CD02" w14:textId="77777777" w:rsidR="00130293" w:rsidRPr="00E85731" w:rsidRDefault="00130293" w:rsidP="00130293">
      <w:pPr>
        <w:spacing w:after="0"/>
        <w:jc w:val="both"/>
        <w:rPr>
          <w:rFonts w:ascii="Aptos Display" w:hAnsi="Aptos Display" w:cs="Arial"/>
          <w:bCs/>
        </w:rPr>
      </w:pPr>
    </w:p>
    <w:p w14:paraId="4AADE50D" w14:textId="77777777" w:rsidR="00BE3F3F" w:rsidRPr="00E85731" w:rsidRDefault="00BE3F3F"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33136FE1" w14:textId="1D303D2F"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27208780" w14:textId="0135F975"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1AEB1A3D" w14:textId="77777777" w:rsidR="00BE3F3F" w:rsidRPr="00E85731" w:rsidRDefault="00BE3F3F" w:rsidP="00643D03">
      <w:pPr>
        <w:spacing w:after="0"/>
        <w:rPr>
          <w:rFonts w:ascii="Aptos Display" w:hAnsi="Aptos Display" w:cs="Arial"/>
          <w:bCs/>
        </w:rPr>
      </w:pPr>
    </w:p>
    <w:p w14:paraId="781655D4" w14:textId="08CB4F55" w:rsidR="00130293" w:rsidRDefault="00643D03" w:rsidP="004D2818">
      <w:pPr>
        <w:spacing w:after="0"/>
        <w:jc w:val="both"/>
        <w:rPr>
          <w:rFonts w:ascii="Aptos Display" w:hAnsi="Aptos Display" w:cs="Arial"/>
          <w:bCs/>
        </w:rPr>
      </w:pPr>
      <w:r w:rsidRPr="00E85731">
        <w:rPr>
          <w:rFonts w:ascii="Aptos Display" w:hAnsi="Aptos Display" w:cs="Arial"/>
          <w:bCs/>
        </w:rPr>
        <w:t xml:space="preserve">• </w:t>
      </w:r>
      <w:r w:rsidR="00130293" w:rsidRPr="00130293">
        <w:rPr>
          <w:rFonts w:ascii="Aptos Display" w:hAnsi="Aptos Display" w:cs="Arial"/>
          <w:bCs/>
        </w:rPr>
        <w:t xml:space="preserve">Les modalités de pilotage et de coordination de l’équipe, notamment la désignation d’un interlocuteur unique pour le maître d’ouvrage sur les aspects opérationnels </w:t>
      </w:r>
    </w:p>
    <w:p w14:paraId="4E963567" w14:textId="77777777" w:rsidR="00130293" w:rsidRDefault="00130293" w:rsidP="004D2818">
      <w:pPr>
        <w:spacing w:after="0"/>
        <w:jc w:val="both"/>
        <w:rPr>
          <w:rFonts w:ascii="Aptos Display" w:hAnsi="Aptos Display" w:cs="Arial"/>
          <w:bCs/>
        </w:rPr>
      </w:pPr>
    </w:p>
    <w:p w14:paraId="5BAC1977" w14:textId="77777777" w:rsidR="00130293" w:rsidRPr="00E85731" w:rsidRDefault="00130293" w:rsidP="00130293">
      <w:pPr>
        <w:spacing w:after="0"/>
        <w:jc w:val="both"/>
        <w:rPr>
          <w:rFonts w:ascii="Aptos Display" w:hAnsi="Aptos Display" w:cs="Arial"/>
          <w:bCs/>
        </w:rPr>
      </w:pPr>
    </w:p>
    <w:p w14:paraId="7459CC15" w14:textId="77777777" w:rsidR="00130293" w:rsidRPr="00E85731"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33F74A60"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rPr>
      </w:pPr>
    </w:p>
    <w:p w14:paraId="30ED0B62"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rPr>
      </w:pPr>
    </w:p>
    <w:p w14:paraId="10DA8586" w14:textId="77777777" w:rsidR="00130293" w:rsidRPr="00E85731" w:rsidRDefault="00130293" w:rsidP="00130293">
      <w:pPr>
        <w:spacing w:after="0"/>
        <w:rPr>
          <w:rFonts w:ascii="Aptos Display" w:hAnsi="Aptos Display" w:cs="Arial"/>
          <w:bCs/>
        </w:rPr>
      </w:pPr>
    </w:p>
    <w:p w14:paraId="49584DC3" w14:textId="77777777" w:rsidR="00130293" w:rsidRDefault="00130293" w:rsidP="004D2818">
      <w:pPr>
        <w:spacing w:after="0"/>
        <w:jc w:val="both"/>
        <w:rPr>
          <w:rFonts w:ascii="Aptos Display" w:hAnsi="Aptos Display" w:cs="Arial"/>
          <w:bCs/>
        </w:rPr>
      </w:pPr>
    </w:p>
    <w:p w14:paraId="0F760615" w14:textId="3148CA79" w:rsidR="00643D03" w:rsidRPr="00130293" w:rsidRDefault="00130293" w:rsidP="00130293">
      <w:pPr>
        <w:pStyle w:val="Paragraphedeliste"/>
        <w:numPr>
          <w:ilvl w:val="0"/>
          <w:numId w:val="8"/>
        </w:numPr>
        <w:spacing w:after="0"/>
        <w:jc w:val="both"/>
        <w:rPr>
          <w:rFonts w:ascii="Aptos Display" w:hAnsi="Aptos Display" w:cs="Arial"/>
          <w:bCs/>
        </w:rPr>
      </w:pPr>
      <w:r w:rsidRPr="00130293">
        <w:rPr>
          <w:rFonts w:ascii="Aptos Display" w:hAnsi="Aptos Display" w:cs="Arial"/>
          <w:bCs/>
        </w:rPr>
        <w:t>désignation d’un interlocuteur unique pour le maître d’ouvrage pour le suivi administratif et financier</w:t>
      </w:r>
      <w:r>
        <w:rPr>
          <w:rFonts w:ascii="Aptos Display" w:hAnsi="Aptos Display" w:cs="Arial"/>
          <w:bCs/>
        </w:rPr>
        <w:t xml:space="preserve"> du contrat </w:t>
      </w:r>
    </w:p>
    <w:p w14:paraId="44B7680C" w14:textId="77777777" w:rsidR="00BE3F3F" w:rsidRPr="00E85731" w:rsidRDefault="00BE3F3F" w:rsidP="00BE3F3F">
      <w:pPr>
        <w:spacing w:after="0"/>
        <w:rPr>
          <w:rFonts w:ascii="Aptos Display" w:hAnsi="Aptos Display" w:cs="Arial"/>
          <w:bCs/>
        </w:rPr>
      </w:pPr>
    </w:p>
    <w:p w14:paraId="4B1F6EB9" w14:textId="77777777" w:rsidR="00BE3F3F" w:rsidRPr="00E85731" w:rsidRDefault="00BE3F3F"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0FE78B4C" w14:textId="77777777" w:rsidR="00BE3F3F" w:rsidRPr="00E85731" w:rsidRDefault="00BE3F3F"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29B3ECF6" w14:textId="6BFF969D"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37940603" w14:textId="77777777" w:rsidR="00BE3F3F" w:rsidRPr="00E85731" w:rsidRDefault="00BE3F3F" w:rsidP="00643D03">
      <w:pPr>
        <w:spacing w:after="0"/>
        <w:rPr>
          <w:rFonts w:ascii="Aptos Display" w:hAnsi="Aptos Display" w:cs="Arial"/>
          <w:bCs/>
        </w:rPr>
      </w:pPr>
    </w:p>
    <w:p w14:paraId="2FFD9A90" w14:textId="2E97669D" w:rsidR="00130293" w:rsidRDefault="00643D03" w:rsidP="2EF45A45">
      <w:pPr>
        <w:spacing w:after="0"/>
        <w:jc w:val="both"/>
        <w:rPr>
          <w:rFonts w:ascii="Aptos Display" w:hAnsi="Aptos Display" w:cs="Arial"/>
        </w:rPr>
      </w:pPr>
      <w:r w:rsidRPr="2EF45A45">
        <w:rPr>
          <w:rFonts w:ascii="Aptos Display" w:hAnsi="Aptos Display" w:cs="Arial"/>
        </w:rPr>
        <w:t xml:space="preserve">• </w:t>
      </w:r>
      <w:r w:rsidR="00130293" w:rsidRPr="00130293">
        <w:rPr>
          <w:rFonts w:ascii="Aptos Display" w:hAnsi="Aptos Display" w:cs="Arial"/>
        </w:rPr>
        <w:t>Les modalités assurant la continuité du service (organisation des remplacements, suppléance).</w:t>
      </w:r>
    </w:p>
    <w:p w14:paraId="62BDEBAB" w14:textId="77777777" w:rsidR="00130293" w:rsidRDefault="00130293" w:rsidP="2EF45A45">
      <w:pPr>
        <w:spacing w:after="0"/>
        <w:jc w:val="both"/>
        <w:rPr>
          <w:rFonts w:ascii="Aptos Display" w:hAnsi="Aptos Display" w:cs="Arial"/>
        </w:rPr>
      </w:pPr>
    </w:p>
    <w:p w14:paraId="4755CCF9" w14:textId="77777777" w:rsidR="00BE3F3F" w:rsidRPr="00E85731" w:rsidRDefault="00BE3F3F"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55EC3BEA" w14:textId="79FD3D0E"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127F0570" w14:textId="0EB65193"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13BF84D5" w14:textId="553FDD43" w:rsidR="2EF45A45" w:rsidRDefault="2EF45A45" w:rsidP="2EF45A45">
      <w:pPr>
        <w:spacing w:after="0"/>
        <w:rPr>
          <w:rFonts w:ascii="Aptos Display" w:hAnsi="Aptos Display" w:cs="Arial"/>
        </w:rPr>
      </w:pPr>
    </w:p>
    <w:p w14:paraId="430884C5" w14:textId="02377BDF" w:rsidR="2EF45A45" w:rsidRDefault="2EF45A45" w:rsidP="2EF45A45">
      <w:pPr>
        <w:spacing w:after="0"/>
        <w:rPr>
          <w:rFonts w:ascii="Aptos Display" w:hAnsi="Aptos Display" w:cs="Arial"/>
        </w:rPr>
      </w:pPr>
    </w:p>
    <w:p w14:paraId="11722DC4" w14:textId="520C49A7" w:rsidR="00E85731" w:rsidRPr="00E85731" w:rsidRDefault="00E85731" w:rsidP="00E85731">
      <w:pPr>
        <w:shd w:val="clear" w:color="auto" w:fill="BDD6EE" w:themeFill="accent1" w:themeFillTint="66"/>
        <w:rPr>
          <w:rFonts w:ascii="Aptos Display" w:hAnsi="Aptos Display" w:cs="Arial"/>
          <w:b/>
          <w:bCs/>
        </w:rPr>
      </w:pPr>
      <w:r w:rsidRPr="00E85731">
        <w:rPr>
          <w:rFonts w:ascii="Aptos Display" w:hAnsi="Aptos Display" w:cs="Arial"/>
          <w:b/>
          <w:bCs/>
        </w:rPr>
        <w:t>2</w:t>
      </w:r>
      <w:r w:rsidR="005C216D" w:rsidRPr="00E85731">
        <w:rPr>
          <w:rFonts w:ascii="Aptos Display" w:hAnsi="Aptos Display" w:cs="Arial"/>
          <w:b/>
          <w:bCs/>
        </w:rPr>
        <w:t xml:space="preserve"> – </w:t>
      </w:r>
      <w:r w:rsidR="00130293">
        <w:rPr>
          <w:rFonts w:ascii="Aptos Display" w:hAnsi="Aptos Display" w:cs="Arial"/>
          <w:b/>
          <w:bCs/>
        </w:rPr>
        <w:t xml:space="preserve">Méthodologie proposée pour l’exécution de la mission </w:t>
      </w:r>
    </w:p>
    <w:p w14:paraId="6DD05E56" w14:textId="46337FC8" w:rsidR="007D3149" w:rsidRPr="00E85731" w:rsidRDefault="007D3149" w:rsidP="007D3149">
      <w:pPr>
        <w:overflowPunct w:val="0"/>
        <w:autoSpaceDE w:val="0"/>
        <w:autoSpaceDN w:val="0"/>
        <w:adjustRightInd w:val="0"/>
        <w:spacing w:line="288" w:lineRule="auto"/>
        <w:jc w:val="both"/>
        <w:textAlignment w:val="baseline"/>
        <w:rPr>
          <w:rFonts w:ascii="Aptos Display" w:hAnsi="Aptos Display" w:cs="Arial"/>
          <w:bCs/>
        </w:rPr>
      </w:pPr>
      <w:r w:rsidRPr="00E85731">
        <w:rPr>
          <w:rFonts w:ascii="Aptos Display" w:hAnsi="Aptos Display" w:cs="Arial"/>
          <w:bCs/>
        </w:rPr>
        <w:t xml:space="preserve">Le candidat </w:t>
      </w:r>
      <w:r w:rsidR="009A24A1">
        <w:rPr>
          <w:rFonts w:ascii="Aptos Display" w:hAnsi="Aptos Display" w:cs="Arial"/>
          <w:bCs/>
        </w:rPr>
        <w:t>fournira</w:t>
      </w:r>
      <w:r w:rsidRPr="00E85731">
        <w:rPr>
          <w:rFonts w:ascii="Aptos Display" w:hAnsi="Aptos Display" w:cs="Arial"/>
          <w:bCs/>
        </w:rPr>
        <w:t xml:space="preserve"> : </w:t>
      </w:r>
    </w:p>
    <w:p w14:paraId="20FC66B1" w14:textId="1DFC8351" w:rsidR="00E85731" w:rsidRPr="00E85731" w:rsidRDefault="007D3149" w:rsidP="00130293">
      <w:pPr>
        <w:spacing w:line="288" w:lineRule="auto"/>
        <w:jc w:val="both"/>
        <w:rPr>
          <w:rFonts w:ascii="Aptos Display" w:hAnsi="Aptos Display" w:cs="Arial"/>
          <w:bCs/>
        </w:rPr>
      </w:pPr>
      <w:r w:rsidRPr="2EF45A45">
        <w:rPr>
          <w:rFonts w:ascii="Aptos Display" w:hAnsi="Aptos Display" w:cs="Arial"/>
        </w:rPr>
        <w:t xml:space="preserve">• </w:t>
      </w:r>
      <w:r w:rsidR="00DB325B">
        <w:rPr>
          <w:rFonts w:ascii="Aptos Display" w:hAnsi="Aptos Display" w:cs="Arial"/>
        </w:rPr>
        <w:t>La méthodologie</w:t>
      </w:r>
      <w:r w:rsidR="00130293" w:rsidRPr="00130293">
        <w:rPr>
          <w:rFonts w:ascii="Aptos Display" w:hAnsi="Aptos Display" w:cs="Arial"/>
        </w:rPr>
        <w:t xml:space="preserve"> mise en œuvre pour l’exécution de la mission, en précisant les principes retenus pour garantir l’efficacité, la fiabilité et la continuité des prestations ;</w:t>
      </w:r>
    </w:p>
    <w:p w14:paraId="22886CE6" w14:textId="77777777" w:rsidR="00E85731" w:rsidRPr="00E85731" w:rsidRDefault="00E85731"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65F81DBB" w14:textId="77777777" w:rsidR="00E85731" w:rsidRPr="00E85731" w:rsidRDefault="00E85731"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2BEB86DC" w14:textId="77777777" w:rsidR="00BE3F3F" w:rsidRPr="00E85731" w:rsidRDefault="00BE3F3F" w:rsidP="007D3149">
      <w:pPr>
        <w:overflowPunct w:val="0"/>
        <w:autoSpaceDE w:val="0"/>
        <w:autoSpaceDN w:val="0"/>
        <w:adjustRightInd w:val="0"/>
        <w:spacing w:line="288" w:lineRule="auto"/>
        <w:jc w:val="both"/>
        <w:textAlignment w:val="baseline"/>
        <w:rPr>
          <w:rFonts w:ascii="Aptos Display" w:hAnsi="Aptos Display" w:cs="Arial"/>
          <w:bCs/>
        </w:rPr>
      </w:pPr>
    </w:p>
    <w:p w14:paraId="42D75694" w14:textId="37D394BC" w:rsidR="55B96242" w:rsidRDefault="55B96242" w:rsidP="2EF45A45">
      <w:pPr>
        <w:pStyle w:val="Paragraphedeliste"/>
        <w:numPr>
          <w:ilvl w:val="0"/>
          <w:numId w:val="7"/>
        </w:numPr>
        <w:spacing w:line="288" w:lineRule="auto"/>
        <w:ind w:left="180" w:hanging="180"/>
        <w:jc w:val="both"/>
        <w:rPr>
          <w:rFonts w:ascii="Aptos Display" w:hAnsi="Aptos Display" w:cs="Arial"/>
        </w:rPr>
      </w:pPr>
      <w:r w:rsidRPr="2EF45A45">
        <w:rPr>
          <w:rFonts w:ascii="Aptos Display" w:hAnsi="Aptos Display" w:cs="Arial"/>
        </w:rPr>
        <w:t xml:space="preserve"> </w:t>
      </w:r>
      <w:r w:rsidR="00130293" w:rsidRPr="00130293">
        <w:rPr>
          <w:rFonts w:ascii="Aptos Display" w:hAnsi="Aptos Display" w:cs="Arial"/>
        </w:rPr>
        <w:t>La déclinaison de cette organisation selon la nature et les enjeux des opérations (superstructure, notamment ERP, infrastructure, démolition/déconstruction) et selon le montant des opérations ;</w:t>
      </w:r>
    </w:p>
    <w:p w14:paraId="2A0C8EDD" w14:textId="77777777" w:rsidR="00130293" w:rsidRPr="00130293" w:rsidRDefault="00130293" w:rsidP="00130293">
      <w:pPr>
        <w:spacing w:line="288" w:lineRule="auto"/>
        <w:jc w:val="both"/>
        <w:rPr>
          <w:rFonts w:ascii="Aptos Display" w:hAnsi="Aptos Display" w:cs="Arial"/>
        </w:rPr>
      </w:pPr>
    </w:p>
    <w:p w14:paraId="75B778F7" w14:textId="77777777" w:rsidR="00E85731" w:rsidRPr="00E85731" w:rsidRDefault="00E85731"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4E457618" w14:textId="77777777" w:rsidR="00E85731" w:rsidRPr="00E85731" w:rsidRDefault="00E85731"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29EB55E3" w14:textId="77777777" w:rsidR="00E85731" w:rsidRPr="00E85731" w:rsidRDefault="00E85731" w:rsidP="00BE3F3F">
      <w:pPr>
        <w:pBdr>
          <w:top w:val="single" w:sz="4" w:space="1" w:color="auto"/>
          <w:left w:val="single" w:sz="4" w:space="4" w:color="auto"/>
          <w:bottom w:val="single" w:sz="4" w:space="1" w:color="auto"/>
          <w:right w:val="single" w:sz="4" w:space="4" w:color="auto"/>
        </w:pBdr>
        <w:rPr>
          <w:rFonts w:ascii="Aptos Display" w:hAnsi="Aptos Display" w:cs="Arial"/>
          <w:bCs/>
        </w:rPr>
      </w:pPr>
    </w:p>
    <w:p w14:paraId="07313579" w14:textId="77777777" w:rsidR="00BE3F3F" w:rsidRPr="00E85731" w:rsidRDefault="00BE3F3F" w:rsidP="007D3149">
      <w:pPr>
        <w:overflowPunct w:val="0"/>
        <w:autoSpaceDE w:val="0"/>
        <w:autoSpaceDN w:val="0"/>
        <w:adjustRightInd w:val="0"/>
        <w:spacing w:line="288" w:lineRule="auto"/>
        <w:jc w:val="both"/>
        <w:textAlignment w:val="baseline"/>
        <w:rPr>
          <w:rFonts w:ascii="Aptos Display" w:hAnsi="Aptos Display" w:cs="Arial"/>
          <w:bCs/>
        </w:rPr>
      </w:pPr>
    </w:p>
    <w:p w14:paraId="7B5B0A45" w14:textId="50CD8D4C" w:rsidR="2EF45A45" w:rsidRPr="00130293" w:rsidRDefault="00130293" w:rsidP="00130293">
      <w:pPr>
        <w:pStyle w:val="Paragraphedeliste"/>
        <w:numPr>
          <w:ilvl w:val="0"/>
          <w:numId w:val="7"/>
        </w:numPr>
        <w:spacing w:after="0"/>
        <w:rPr>
          <w:rFonts w:ascii="Aptos Display" w:hAnsi="Aptos Display" w:cs="Arial"/>
        </w:rPr>
      </w:pPr>
      <w:r w:rsidRPr="00130293">
        <w:rPr>
          <w:rFonts w:ascii="Aptos Display" w:hAnsi="Aptos Display" w:cs="Arial"/>
        </w:rPr>
        <w:t>La méthodologie appliquée aux différentes phases de l’opération (conception, études d’exécution, phase travaux, réception et période de garantie), incluant les modalités de production, de suivi et de levée des avis ;</w:t>
      </w:r>
    </w:p>
    <w:p w14:paraId="7BF7ED8F" w14:textId="5B870FC2"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5DC436F1" w14:textId="7F44EE99"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67F09C01" w14:textId="0A344DB5" w:rsidR="2EF45A45" w:rsidRDefault="2EF45A45" w:rsidP="2EF45A45">
      <w:pPr>
        <w:pBdr>
          <w:top w:val="single" w:sz="4" w:space="1" w:color="auto"/>
          <w:left w:val="single" w:sz="4" w:space="4" w:color="auto"/>
          <w:bottom w:val="single" w:sz="4" w:space="1" w:color="auto"/>
          <w:right w:val="single" w:sz="4" w:space="4" w:color="auto"/>
        </w:pBdr>
        <w:rPr>
          <w:rFonts w:ascii="Aptos Display" w:hAnsi="Aptos Display" w:cs="Arial"/>
        </w:rPr>
      </w:pPr>
    </w:p>
    <w:p w14:paraId="740F50DD" w14:textId="0B577BBF" w:rsidR="00130293" w:rsidRPr="00130293" w:rsidRDefault="00130293" w:rsidP="00130293">
      <w:pPr>
        <w:spacing w:line="288" w:lineRule="auto"/>
        <w:jc w:val="both"/>
        <w:rPr>
          <w:rFonts w:ascii="Aptos Display" w:eastAsiaTheme="minorEastAsia" w:hAnsi="Aptos Display" w:cs="Arial"/>
          <w:lang w:eastAsia="fr-FR"/>
        </w:rPr>
      </w:pPr>
      <w:r w:rsidRPr="00130293">
        <w:rPr>
          <w:rFonts w:ascii="Aptos Display" w:eastAsiaTheme="minorEastAsia" w:hAnsi="Aptos Display" w:cs="Arial"/>
          <w:lang w:eastAsia="fr-FR"/>
        </w:rPr>
        <w:lastRenderedPageBreak/>
        <w:t>Les modalités opérationnelles et outils spécifiques proposés pour :</w:t>
      </w:r>
      <w:r>
        <w:rPr>
          <w:rFonts w:ascii="Aptos Display" w:eastAsiaTheme="minorEastAsia" w:hAnsi="Aptos Display" w:cs="Arial"/>
          <w:lang w:eastAsia="fr-FR"/>
        </w:rPr>
        <w:t xml:space="preserve"> </w:t>
      </w:r>
      <w:r w:rsidRPr="00130293">
        <w:rPr>
          <w:rFonts w:ascii="Aptos Display" w:eastAsiaTheme="minorEastAsia" w:hAnsi="Aptos Display" w:cs="Arial"/>
          <w:lang w:eastAsia="fr-FR"/>
        </w:rPr>
        <w:t>anticiper et gérer les points sensibles (sécurité des personnes, avoisinants, phasage, site occupé ou urbain dense),</w:t>
      </w:r>
      <w:r>
        <w:rPr>
          <w:rFonts w:ascii="Aptos Display" w:eastAsiaTheme="minorEastAsia" w:hAnsi="Aptos Display" w:cs="Arial"/>
          <w:lang w:eastAsia="fr-FR"/>
        </w:rPr>
        <w:t xml:space="preserve"> </w:t>
      </w:r>
      <w:r w:rsidRPr="00130293">
        <w:rPr>
          <w:rFonts w:ascii="Aptos Display" w:eastAsiaTheme="minorEastAsia" w:hAnsi="Aptos Display" w:cs="Arial"/>
          <w:lang w:eastAsia="fr-FR"/>
        </w:rPr>
        <w:t>assurer le suivi et la traçabilité des avis et rapports,</w:t>
      </w:r>
      <w:r>
        <w:rPr>
          <w:rFonts w:ascii="Aptos Display" w:eastAsiaTheme="minorEastAsia" w:hAnsi="Aptos Display" w:cs="Arial"/>
          <w:lang w:eastAsia="fr-FR"/>
        </w:rPr>
        <w:t xml:space="preserve"> </w:t>
      </w:r>
      <w:r w:rsidRPr="00130293">
        <w:rPr>
          <w:rFonts w:ascii="Aptos Display" w:eastAsiaTheme="minorEastAsia" w:hAnsi="Aptos Display" w:cs="Arial"/>
          <w:lang w:eastAsia="fr-FR"/>
        </w:rPr>
        <w:t>faciliter la coordination avec le maître d’ouvrage, la maîtrise d’œuvre et les entreprises,</w:t>
      </w:r>
      <w:r>
        <w:rPr>
          <w:rFonts w:ascii="Aptos Display" w:eastAsiaTheme="minorEastAsia" w:hAnsi="Aptos Display" w:cs="Arial"/>
          <w:lang w:eastAsia="fr-FR"/>
        </w:rPr>
        <w:t xml:space="preserve"> </w:t>
      </w:r>
      <w:r w:rsidRPr="00130293">
        <w:rPr>
          <w:rFonts w:ascii="Aptos Display" w:eastAsiaTheme="minorEastAsia" w:hAnsi="Aptos Display" w:cs="Arial"/>
          <w:lang w:eastAsia="fr-FR"/>
        </w:rPr>
        <w:t>limiter les risques de blocage en phase de réception ;</w:t>
      </w:r>
    </w:p>
    <w:p w14:paraId="376AE144" w14:textId="77777777" w:rsidR="00130293" w:rsidRPr="00130293" w:rsidRDefault="00130293" w:rsidP="00130293">
      <w:pPr>
        <w:spacing w:line="288" w:lineRule="auto"/>
        <w:jc w:val="both"/>
        <w:rPr>
          <w:rFonts w:ascii="Aptos Display" w:hAnsi="Aptos Display" w:cs="Arial"/>
          <w:bCs/>
        </w:rPr>
      </w:pPr>
    </w:p>
    <w:p w14:paraId="3A6400A0" w14:textId="77777777" w:rsidR="00130293" w:rsidRPr="00E85731"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2978D4DD"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5EB00363"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17D71BED"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4EB851AE" w14:textId="77777777" w:rsidR="00130293" w:rsidRPr="00E85731"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1B8AFADA" w14:textId="77777777" w:rsidR="00130293" w:rsidRPr="00E85731" w:rsidRDefault="00130293" w:rsidP="00130293">
      <w:pPr>
        <w:overflowPunct w:val="0"/>
        <w:autoSpaceDE w:val="0"/>
        <w:autoSpaceDN w:val="0"/>
        <w:adjustRightInd w:val="0"/>
        <w:spacing w:line="288" w:lineRule="auto"/>
        <w:jc w:val="both"/>
        <w:textAlignment w:val="baseline"/>
        <w:rPr>
          <w:rFonts w:ascii="Aptos Display" w:hAnsi="Aptos Display" w:cs="Arial"/>
          <w:bCs/>
        </w:rPr>
      </w:pPr>
    </w:p>
    <w:p w14:paraId="3DC64B7F" w14:textId="62206996" w:rsidR="00130293" w:rsidRDefault="00130293" w:rsidP="00130293">
      <w:pPr>
        <w:pStyle w:val="Paragraphedeliste"/>
        <w:numPr>
          <w:ilvl w:val="0"/>
          <w:numId w:val="7"/>
        </w:numPr>
        <w:spacing w:line="288" w:lineRule="auto"/>
        <w:ind w:left="180" w:hanging="180"/>
        <w:jc w:val="both"/>
        <w:rPr>
          <w:rFonts w:ascii="Aptos Display" w:hAnsi="Aptos Display" w:cs="Arial"/>
        </w:rPr>
      </w:pPr>
      <w:r w:rsidRPr="2EF45A45">
        <w:rPr>
          <w:rFonts w:ascii="Aptos Display" w:hAnsi="Aptos Display" w:cs="Arial"/>
        </w:rPr>
        <w:t xml:space="preserve"> </w:t>
      </w:r>
      <w:r w:rsidRPr="00130293">
        <w:rPr>
          <w:rFonts w:ascii="Aptos Display" w:hAnsi="Aptos Display" w:cs="Arial"/>
        </w:rPr>
        <w:t>Les éléments de valeur ajoutée proposés par le candidat (retours d’expérience, bonnes pratiques, outils internes, démarches qualité ou organisationnelles).</w:t>
      </w:r>
    </w:p>
    <w:p w14:paraId="7B4B19DB" w14:textId="77777777" w:rsidR="00130293" w:rsidRPr="00130293" w:rsidRDefault="00130293" w:rsidP="00130293">
      <w:pPr>
        <w:spacing w:line="288" w:lineRule="auto"/>
        <w:jc w:val="both"/>
        <w:rPr>
          <w:rFonts w:ascii="Aptos Display" w:hAnsi="Aptos Display" w:cs="Arial"/>
        </w:rPr>
      </w:pPr>
    </w:p>
    <w:p w14:paraId="0B2BD4C8" w14:textId="77777777" w:rsidR="00130293" w:rsidRPr="00E85731"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2B8EB7A0" w14:textId="77777777" w:rsidR="00130293" w:rsidRPr="00E85731"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1D274D18" w14:textId="77777777" w:rsidR="00130293" w:rsidRPr="00E85731"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bCs/>
        </w:rPr>
      </w:pPr>
    </w:p>
    <w:p w14:paraId="07C54EA4" w14:textId="77777777" w:rsidR="00130293" w:rsidRPr="00E85731" w:rsidRDefault="00130293" w:rsidP="00130293">
      <w:pPr>
        <w:overflowPunct w:val="0"/>
        <w:autoSpaceDE w:val="0"/>
        <w:autoSpaceDN w:val="0"/>
        <w:adjustRightInd w:val="0"/>
        <w:spacing w:line="288" w:lineRule="auto"/>
        <w:jc w:val="both"/>
        <w:textAlignment w:val="baseline"/>
        <w:rPr>
          <w:rFonts w:ascii="Aptos Display" w:hAnsi="Aptos Display" w:cs="Arial"/>
          <w:bCs/>
        </w:rPr>
      </w:pPr>
    </w:p>
    <w:p w14:paraId="436BA27C" w14:textId="77777777" w:rsidR="00130293" w:rsidRPr="00130293" w:rsidRDefault="00130293" w:rsidP="00130293">
      <w:pPr>
        <w:pStyle w:val="Paragraphedeliste"/>
        <w:numPr>
          <w:ilvl w:val="0"/>
          <w:numId w:val="7"/>
        </w:numPr>
        <w:spacing w:after="0"/>
        <w:rPr>
          <w:rFonts w:ascii="Aptos Display" w:hAnsi="Aptos Display" w:cs="Arial"/>
        </w:rPr>
      </w:pPr>
      <w:r w:rsidRPr="00130293">
        <w:rPr>
          <w:rFonts w:ascii="Aptos Display" w:hAnsi="Aptos Display" w:cs="Arial"/>
        </w:rPr>
        <w:t>Le candidat exposera la qualité de sa compréhension des enjeux spécifiques de l’établissement public maître d’ouvrage, notamment en matière de projets intégrant des solutions techniques innovantes ou particulières, de forts enjeux environnementaux ainsi que des particularités territoriales liées au contexte de centre urbain ancien et de bâti souvent dégradé.</w:t>
      </w:r>
    </w:p>
    <w:p w14:paraId="134547FD" w14:textId="77777777" w:rsidR="00130293" w:rsidRPr="00130293" w:rsidRDefault="00130293" w:rsidP="00130293">
      <w:pPr>
        <w:spacing w:after="0"/>
        <w:rPr>
          <w:rFonts w:ascii="Aptos Display" w:eastAsiaTheme="minorEastAsia" w:hAnsi="Aptos Display" w:cs="Arial"/>
          <w:lang w:eastAsia="fr-FR"/>
        </w:rPr>
      </w:pPr>
    </w:p>
    <w:p w14:paraId="31726963" w14:textId="63E77FB0" w:rsidR="00130293" w:rsidRDefault="00130293" w:rsidP="00130293">
      <w:pPr>
        <w:pStyle w:val="Paragraphedeliste"/>
        <w:numPr>
          <w:ilvl w:val="0"/>
          <w:numId w:val="7"/>
        </w:numPr>
        <w:spacing w:after="0"/>
        <w:rPr>
          <w:rFonts w:ascii="Aptos Display" w:hAnsi="Aptos Display" w:cs="Arial"/>
        </w:rPr>
      </w:pPr>
      <w:r w:rsidRPr="00130293">
        <w:rPr>
          <w:rFonts w:ascii="Aptos Display" w:hAnsi="Aptos Display" w:cs="Arial"/>
        </w:rPr>
        <w:t>Il précisera comment cette compréhension se traduit concrètement dans l’exécution de la mission, notamment au travers de son positionnement dans l’accompagnement des projets, de la prise en compte des contraintes opérationnelles et de l’application d’un niveau d’exigence adapté, sans sur-prescription injustifiée, dans le respect du cadre réglementaire.</w:t>
      </w:r>
    </w:p>
    <w:p w14:paraId="64DA783D" w14:textId="77777777" w:rsidR="00182726" w:rsidRPr="00182726" w:rsidRDefault="00182726" w:rsidP="00182726">
      <w:pPr>
        <w:pStyle w:val="Paragraphedeliste"/>
        <w:rPr>
          <w:rFonts w:ascii="Aptos Display" w:hAnsi="Aptos Display" w:cs="Arial"/>
        </w:rPr>
      </w:pPr>
    </w:p>
    <w:p w14:paraId="171D9499" w14:textId="77777777" w:rsidR="00182726" w:rsidRPr="00182726" w:rsidRDefault="00182726" w:rsidP="00182726">
      <w:pPr>
        <w:spacing w:after="0"/>
        <w:rPr>
          <w:rFonts w:ascii="Aptos Display" w:hAnsi="Aptos Display" w:cs="Arial"/>
        </w:rPr>
      </w:pPr>
    </w:p>
    <w:p w14:paraId="74C3E95A"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rPr>
      </w:pPr>
    </w:p>
    <w:p w14:paraId="1ADC1F21"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rPr>
      </w:pPr>
    </w:p>
    <w:p w14:paraId="09A2EB2A" w14:textId="77777777" w:rsidR="00130293" w:rsidRDefault="00130293" w:rsidP="00130293">
      <w:pPr>
        <w:pBdr>
          <w:top w:val="single" w:sz="4" w:space="1" w:color="auto"/>
          <w:left w:val="single" w:sz="4" w:space="4" w:color="auto"/>
          <w:bottom w:val="single" w:sz="4" w:space="1" w:color="auto"/>
          <w:right w:val="single" w:sz="4" w:space="4" w:color="auto"/>
        </w:pBdr>
        <w:rPr>
          <w:rFonts w:ascii="Aptos Display" w:hAnsi="Aptos Display" w:cs="Arial"/>
        </w:rPr>
      </w:pPr>
    </w:p>
    <w:p w14:paraId="1890706C" w14:textId="77777777" w:rsidR="00130293" w:rsidRDefault="00130293" w:rsidP="2EF45A45">
      <w:pPr>
        <w:pBdr>
          <w:top w:val="single" w:sz="4" w:space="1" w:color="auto"/>
          <w:left w:val="single" w:sz="4" w:space="4" w:color="auto"/>
          <w:bottom w:val="single" w:sz="4" w:space="1" w:color="auto"/>
          <w:right w:val="single" w:sz="4" w:space="4" w:color="auto"/>
        </w:pBdr>
        <w:rPr>
          <w:rFonts w:ascii="Aptos Display" w:hAnsi="Aptos Display" w:cs="Arial"/>
        </w:rPr>
      </w:pPr>
    </w:p>
    <w:sectPr w:rsidR="00130293" w:rsidSect="004E2C4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altName w:val="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61554DA"/>
    <w:multiLevelType w:val="hybridMultilevel"/>
    <w:tmpl w:val="BF28E652"/>
    <w:lvl w:ilvl="0" w:tplc="6BA4EE06">
      <w:start w:val="1"/>
      <w:numFmt w:val="bullet"/>
      <w:lvlText w:val=""/>
      <w:lvlJc w:val="left"/>
      <w:pPr>
        <w:ind w:left="720" w:hanging="360"/>
      </w:pPr>
      <w:rPr>
        <w:rFonts w:ascii="Symbol" w:hAnsi="Symbol" w:hint="default"/>
      </w:rPr>
    </w:lvl>
    <w:lvl w:ilvl="1" w:tplc="20EC6B0A">
      <w:start w:val="1"/>
      <w:numFmt w:val="bullet"/>
      <w:lvlText w:val="o"/>
      <w:lvlJc w:val="left"/>
      <w:pPr>
        <w:ind w:left="1440" w:hanging="360"/>
      </w:pPr>
      <w:rPr>
        <w:rFonts w:ascii="Courier New" w:hAnsi="Courier New" w:hint="default"/>
      </w:rPr>
    </w:lvl>
    <w:lvl w:ilvl="2" w:tplc="E3408E46">
      <w:start w:val="1"/>
      <w:numFmt w:val="bullet"/>
      <w:lvlText w:val=""/>
      <w:lvlJc w:val="left"/>
      <w:pPr>
        <w:ind w:left="2160" w:hanging="360"/>
      </w:pPr>
      <w:rPr>
        <w:rFonts w:ascii="Wingdings" w:hAnsi="Wingdings" w:hint="default"/>
      </w:rPr>
    </w:lvl>
    <w:lvl w:ilvl="3" w:tplc="AEF2E6CA">
      <w:start w:val="1"/>
      <w:numFmt w:val="bullet"/>
      <w:lvlText w:val=""/>
      <w:lvlJc w:val="left"/>
      <w:pPr>
        <w:ind w:left="2880" w:hanging="360"/>
      </w:pPr>
      <w:rPr>
        <w:rFonts w:ascii="Symbol" w:hAnsi="Symbol" w:hint="default"/>
      </w:rPr>
    </w:lvl>
    <w:lvl w:ilvl="4" w:tplc="7B70F84A">
      <w:start w:val="1"/>
      <w:numFmt w:val="bullet"/>
      <w:lvlText w:val="o"/>
      <w:lvlJc w:val="left"/>
      <w:pPr>
        <w:ind w:left="3600" w:hanging="360"/>
      </w:pPr>
      <w:rPr>
        <w:rFonts w:ascii="Courier New" w:hAnsi="Courier New" w:hint="default"/>
      </w:rPr>
    </w:lvl>
    <w:lvl w:ilvl="5" w:tplc="DD62936E">
      <w:start w:val="1"/>
      <w:numFmt w:val="bullet"/>
      <w:lvlText w:val=""/>
      <w:lvlJc w:val="left"/>
      <w:pPr>
        <w:ind w:left="4320" w:hanging="360"/>
      </w:pPr>
      <w:rPr>
        <w:rFonts w:ascii="Wingdings" w:hAnsi="Wingdings" w:hint="default"/>
      </w:rPr>
    </w:lvl>
    <w:lvl w:ilvl="6" w:tplc="71F2EF0A">
      <w:start w:val="1"/>
      <w:numFmt w:val="bullet"/>
      <w:lvlText w:val=""/>
      <w:lvlJc w:val="left"/>
      <w:pPr>
        <w:ind w:left="5040" w:hanging="360"/>
      </w:pPr>
      <w:rPr>
        <w:rFonts w:ascii="Symbol" w:hAnsi="Symbol" w:hint="default"/>
      </w:rPr>
    </w:lvl>
    <w:lvl w:ilvl="7" w:tplc="DEF61342">
      <w:start w:val="1"/>
      <w:numFmt w:val="bullet"/>
      <w:lvlText w:val="o"/>
      <w:lvlJc w:val="left"/>
      <w:pPr>
        <w:ind w:left="5760" w:hanging="360"/>
      </w:pPr>
      <w:rPr>
        <w:rFonts w:ascii="Courier New" w:hAnsi="Courier New" w:hint="default"/>
      </w:rPr>
    </w:lvl>
    <w:lvl w:ilvl="8" w:tplc="5052C6D8">
      <w:start w:val="1"/>
      <w:numFmt w:val="bullet"/>
      <w:lvlText w:val=""/>
      <w:lvlJc w:val="left"/>
      <w:pPr>
        <w:ind w:left="6480" w:hanging="360"/>
      </w:pPr>
      <w:rPr>
        <w:rFonts w:ascii="Wingdings" w:hAnsi="Wingdings" w:hint="default"/>
      </w:rPr>
    </w:lvl>
  </w:abstractNum>
  <w:abstractNum w:abstractNumId="3" w15:restartNumberingAfterBreak="0">
    <w:nsid w:val="20DE1509"/>
    <w:multiLevelType w:val="hybridMultilevel"/>
    <w:tmpl w:val="FA56494E"/>
    <w:lvl w:ilvl="0" w:tplc="42320818">
      <w:start w:val="1"/>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28D372A0"/>
    <w:multiLevelType w:val="hybridMultilevel"/>
    <w:tmpl w:val="B4D4D21A"/>
    <w:lvl w:ilvl="0" w:tplc="1B78486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314B7B"/>
    <w:multiLevelType w:val="hybridMultilevel"/>
    <w:tmpl w:val="11264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1B14E5"/>
    <w:multiLevelType w:val="hybridMultilevel"/>
    <w:tmpl w:val="9D50871C"/>
    <w:lvl w:ilvl="0" w:tplc="B47ECC3C">
      <w:start w:val="1"/>
      <w:numFmt w:val="bullet"/>
      <w:lvlText w:val=""/>
      <w:lvlJc w:val="left"/>
      <w:pPr>
        <w:ind w:left="720" w:hanging="360"/>
      </w:pPr>
      <w:rPr>
        <w:rFonts w:ascii="Symbol" w:hAnsi="Symbol" w:hint="default"/>
      </w:rPr>
    </w:lvl>
    <w:lvl w:ilvl="1" w:tplc="D204775E">
      <w:start w:val="1"/>
      <w:numFmt w:val="bullet"/>
      <w:lvlText w:val="o"/>
      <w:lvlJc w:val="left"/>
      <w:pPr>
        <w:ind w:left="1440" w:hanging="360"/>
      </w:pPr>
      <w:rPr>
        <w:rFonts w:ascii="Courier New" w:hAnsi="Courier New" w:hint="default"/>
      </w:rPr>
    </w:lvl>
    <w:lvl w:ilvl="2" w:tplc="EB025448">
      <w:start w:val="1"/>
      <w:numFmt w:val="bullet"/>
      <w:lvlText w:val=""/>
      <w:lvlJc w:val="left"/>
      <w:pPr>
        <w:ind w:left="2160" w:hanging="360"/>
      </w:pPr>
      <w:rPr>
        <w:rFonts w:ascii="Wingdings" w:hAnsi="Wingdings" w:hint="default"/>
      </w:rPr>
    </w:lvl>
    <w:lvl w:ilvl="3" w:tplc="C1EE4BCA">
      <w:start w:val="1"/>
      <w:numFmt w:val="bullet"/>
      <w:lvlText w:val=""/>
      <w:lvlJc w:val="left"/>
      <w:pPr>
        <w:ind w:left="2880" w:hanging="360"/>
      </w:pPr>
      <w:rPr>
        <w:rFonts w:ascii="Symbol" w:hAnsi="Symbol" w:hint="default"/>
      </w:rPr>
    </w:lvl>
    <w:lvl w:ilvl="4" w:tplc="D5060382">
      <w:start w:val="1"/>
      <w:numFmt w:val="bullet"/>
      <w:lvlText w:val="o"/>
      <w:lvlJc w:val="left"/>
      <w:pPr>
        <w:ind w:left="3600" w:hanging="360"/>
      </w:pPr>
      <w:rPr>
        <w:rFonts w:ascii="Courier New" w:hAnsi="Courier New" w:hint="default"/>
      </w:rPr>
    </w:lvl>
    <w:lvl w:ilvl="5" w:tplc="F936143E">
      <w:start w:val="1"/>
      <w:numFmt w:val="bullet"/>
      <w:lvlText w:val=""/>
      <w:lvlJc w:val="left"/>
      <w:pPr>
        <w:ind w:left="4320" w:hanging="360"/>
      </w:pPr>
      <w:rPr>
        <w:rFonts w:ascii="Wingdings" w:hAnsi="Wingdings" w:hint="default"/>
      </w:rPr>
    </w:lvl>
    <w:lvl w:ilvl="6" w:tplc="D5FA682C">
      <w:start w:val="1"/>
      <w:numFmt w:val="bullet"/>
      <w:lvlText w:val=""/>
      <w:lvlJc w:val="left"/>
      <w:pPr>
        <w:ind w:left="5040" w:hanging="360"/>
      </w:pPr>
      <w:rPr>
        <w:rFonts w:ascii="Symbol" w:hAnsi="Symbol" w:hint="default"/>
      </w:rPr>
    </w:lvl>
    <w:lvl w:ilvl="7" w:tplc="01429428">
      <w:start w:val="1"/>
      <w:numFmt w:val="bullet"/>
      <w:lvlText w:val="o"/>
      <w:lvlJc w:val="left"/>
      <w:pPr>
        <w:ind w:left="5760" w:hanging="360"/>
      </w:pPr>
      <w:rPr>
        <w:rFonts w:ascii="Courier New" w:hAnsi="Courier New" w:hint="default"/>
      </w:rPr>
    </w:lvl>
    <w:lvl w:ilvl="8" w:tplc="328C96D4">
      <w:start w:val="1"/>
      <w:numFmt w:val="bullet"/>
      <w:lvlText w:val=""/>
      <w:lvlJc w:val="left"/>
      <w:pPr>
        <w:ind w:left="6480" w:hanging="360"/>
      </w:pPr>
      <w:rPr>
        <w:rFonts w:ascii="Wingdings" w:hAnsi="Wingdings" w:hint="default"/>
      </w:rPr>
    </w:lvl>
  </w:abstractNum>
  <w:abstractNum w:abstractNumId="7" w15:restartNumberingAfterBreak="0">
    <w:nsid w:val="6CE7301F"/>
    <w:multiLevelType w:val="hybridMultilevel"/>
    <w:tmpl w:val="8736A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6985580">
    <w:abstractNumId w:val="2"/>
  </w:num>
  <w:num w:numId="2" w16cid:durableId="412896090">
    <w:abstractNumId w:val="6"/>
  </w:num>
  <w:num w:numId="3" w16cid:durableId="775757166">
    <w:abstractNumId w:val="0"/>
  </w:num>
  <w:num w:numId="4" w16cid:durableId="506098066">
    <w:abstractNumId w:val="1"/>
  </w:num>
  <w:num w:numId="5" w16cid:durableId="1645235026">
    <w:abstractNumId w:val="3"/>
  </w:num>
  <w:num w:numId="6" w16cid:durableId="892733629">
    <w:abstractNumId w:val="4"/>
  </w:num>
  <w:num w:numId="7" w16cid:durableId="434986535">
    <w:abstractNumId w:val="5"/>
  </w:num>
  <w:num w:numId="8" w16cid:durableId="455225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3A4B"/>
    <w:rsid w:val="00056BF8"/>
    <w:rsid w:val="00101E31"/>
    <w:rsid w:val="001206A0"/>
    <w:rsid w:val="00130293"/>
    <w:rsid w:val="00136FE7"/>
    <w:rsid w:val="0015392B"/>
    <w:rsid w:val="00182726"/>
    <w:rsid w:val="001B0C35"/>
    <w:rsid w:val="00214318"/>
    <w:rsid w:val="002523A7"/>
    <w:rsid w:val="00261D02"/>
    <w:rsid w:val="0030029F"/>
    <w:rsid w:val="003913EC"/>
    <w:rsid w:val="00391DED"/>
    <w:rsid w:val="004264AE"/>
    <w:rsid w:val="0043667C"/>
    <w:rsid w:val="004877C2"/>
    <w:rsid w:val="00492856"/>
    <w:rsid w:val="004B627F"/>
    <w:rsid w:val="004D1F82"/>
    <w:rsid w:val="004D2818"/>
    <w:rsid w:val="004E2C48"/>
    <w:rsid w:val="00584BF0"/>
    <w:rsid w:val="005C216D"/>
    <w:rsid w:val="00643D03"/>
    <w:rsid w:val="00691222"/>
    <w:rsid w:val="006B4C56"/>
    <w:rsid w:val="0076314C"/>
    <w:rsid w:val="00764C2C"/>
    <w:rsid w:val="00765761"/>
    <w:rsid w:val="007D0D06"/>
    <w:rsid w:val="007D3149"/>
    <w:rsid w:val="00832301"/>
    <w:rsid w:val="00903567"/>
    <w:rsid w:val="009A24A1"/>
    <w:rsid w:val="009D6BEE"/>
    <w:rsid w:val="009E0AE6"/>
    <w:rsid w:val="00AA221F"/>
    <w:rsid w:val="00AF541C"/>
    <w:rsid w:val="00B26BDF"/>
    <w:rsid w:val="00B45022"/>
    <w:rsid w:val="00B70130"/>
    <w:rsid w:val="00BA79BC"/>
    <w:rsid w:val="00BB2CFC"/>
    <w:rsid w:val="00BB6660"/>
    <w:rsid w:val="00BE3F3F"/>
    <w:rsid w:val="00BF2E53"/>
    <w:rsid w:val="00C30193"/>
    <w:rsid w:val="00CD2994"/>
    <w:rsid w:val="00CD4221"/>
    <w:rsid w:val="00CE0534"/>
    <w:rsid w:val="00D01111"/>
    <w:rsid w:val="00D200FD"/>
    <w:rsid w:val="00DB325B"/>
    <w:rsid w:val="00DD2179"/>
    <w:rsid w:val="00E72DE6"/>
    <w:rsid w:val="00E85731"/>
    <w:rsid w:val="00EE1A32"/>
    <w:rsid w:val="00EF7E7C"/>
    <w:rsid w:val="00F37F19"/>
    <w:rsid w:val="00F618EE"/>
    <w:rsid w:val="00FD1103"/>
    <w:rsid w:val="00FD4BE2"/>
    <w:rsid w:val="01558E36"/>
    <w:rsid w:val="06520B61"/>
    <w:rsid w:val="07FE58BE"/>
    <w:rsid w:val="08AA14A4"/>
    <w:rsid w:val="0C6BEE1C"/>
    <w:rsid w:val="1358F026"/>
    <w:rsid w:val="1753DC25"/>
    <w:rsid w:val="1913393F"/>
    <w:rsid w:val="1AAC190A"/>
    <w:rsid w:val="227C5961"/>
    <w:rsid w:val="28D318C2"/>
    <w:rsid w:val="2EF45A45"/>
    <w:rsid w:val="341E805A"/>
    <w:rsid w:val="36A36584"/>
    <w:rsid w:val="3BA94E32"/>
    <w:rsid w:val="3F5E6A06"/>
    <w:rsid w:val="442AFA6B"/>
    <w:rsid w:val="44EC547A"/>
    <w:rsid w:val="4596BAEE"/>
    <w:rsid w:val="4887F941"/>
    <w:rsid w:val="5547A10D"/>
    <w:rsid w:val="55B96242"/>
    <w:rsid w:val="5A093249"/>
    <w:rsid w:val="6022B864"/>
    <w:rsid w:val="637318BA"/>
    <w:rsid w:val="71DE4A4E"/>
    <w:rsid w:val="76BC8023"/>
    <w:rsid w:val="7CFE8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9A6F"/>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3"/>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3"/>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3"/>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uiPriority w:val="99"/>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
    <w:name w:val="Mention"/>
    <w:basedOn w:val="Policepardfaut"/>
    <w:uiPriority w:val="99"/>
    <w:unhideWhenUsed/>
    <w:rPr>
      <w:color w:val="2B579A"/>
      <w:shd w:val="clear" w:color="auto" w:fill="E6E6E6"/>
    </w:rPr>
  </w:style>
  <w:style w:type="table" w:styleId="Grilledetableauclaire">
    <w:name w:val="Grid Table Light"/>
    <w:basedOn w:val="TableauNormal"/>
    <w:uiPriority w:val="40"/>
    <w:rsid w:val="00101E31"/>
    <w:pPr>
      <w:spacing w:after="0" w:line="240" w:lineRule="auto"/>
    </w:pPr>
    <w:rPr>
      <w:rFonts w:ascii="Times New Roman" w:eastAsia="Times New Roman" w:hAnsi="Times New Roman" w:cs="Times New Roman"/>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B45022"/>
    <w:rPr>
      <w:b/>
      <w:bCs/>
    </w:rPr>
  </w:style>
  <w:style w:type="character" w:customStyle="1" w:styleId="ObjetducommentaireCar">
    <w:name w:val="Objet du commentaire Car"/>
    <w:basedOn w:val="CommentaireCar"/>
    <w:link w:val="Objetducommentaire"/>
    <w:uiPriority w:val="99"/>
    <w:semiHidden/>
    <w:rsid w:val="00B45022"/>
    <w:rPr>
      <w:b/>
      <w:bCs/>
      <w:sz w:val="20"/>
      <w:szCs w:val="20"/>
    </w:rPr>
  </w:style>
  <w:style w:type="paragraph" w:customStyle="1" w:styleId="Default">
    <w:name w:val="Default"/>
    <w:basedOn w:val="Normal"/>
    <w:uiPriority w:val="1"/>
    <w:rsid w:val="2EF45A45"/>
    <w:pPr>
      <w:spacing w:after="0" w:line="240" w:lineRule="auto"/>
    </w:pPr>
    <w:rPr>
      <w:rFonts w:eastAsiaTheme="minorEastAsia"/>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4e428f-a604-4ab4-a76f-0d535b5e42a6">
      <Terms xmlns="http://schemas.microsoft.com/office/infopath/2007/PartnerControls"/>
    </lcf76f155ced4ddcb4097134ff3c332f>
    <TaxCatchAll xmlns="f050c1af-32bb-4813-a83e-7edf209bee2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DF628242BE124BA3E64340338C8AFE" ma:contentTypeVersion="13" ma:contentTypeDescription="Crée un document." ma:contentTypeScope="" ma:versionID="51d19bb36172e79a6f2c0355551fcf98">
  <xsd:schema xmlns:xsd="http://www.w3.org/2001/XMLSchema" xmlns:xs="http://www.w3.org/2001/XMLSchema" xmlns:p="http://schemas.microsoft.com/office/2006/metadata/properties" xmlns:ns2="d64e428f-a604-4ab4-a76f-0d535b5e42a6" xmlns:ns3="f050c1af-32bb-4813-a83e-7edf209bee23" targetNamespace="http://schemas.microsoft.com/office/2006/metadata/properties" ma:root="true" ma:fieldsID="f149d0148ee32e097374eeb9657580d1" ns2:_="" ns3:_="">
    <xsd:import namespace="d64e428f-a604-4ab4-a76f-0d535b5e42a6"/>
    <xsd:import namespace="f050c1af-32bb-4813-a83e-7edf209bee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e428f-a604-4ab4-a76f-0d535b5e4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50c1af-32bb-4813-a83e-7edf209bee2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a202988-6f9b-407f-a4f6-d7b6fc106c5b}" ma:internalName="TaxCatchAll" ma:showField="CatchAllData" ma:web="f050c1af-32bb-4813-a83e-7edf209be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2.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d64e428f-a604-4ab4-a76f-0d535b5e42a6"/>
    <ds:schemaRef ds:uri="f050c1af-32bb-4813-a83e-7edf209bee23"/>
  </ds:schemaRefs>
</ds:datastoreItem>
</file>

<file path=customXml/itemProps3.xml><?xml version="1.0" encoding="utf-8"?>
<ds:datastoreItem xmlns:ds="http://schemas.openxmlformats.org/officeDocument/2006/customXml" ds:itemID="{673FBD26-B8CD-4E5A-86EF-2DA40463F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e428f-a604-4ab4-a76f-0d535b5e42a6"/>
    <ds:schemaRef ds:uri="f050c1af-32bb-4813-a83e-7edf209be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519</Words>
  <Characters>2855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Anyssa TAYACHI</cp:lastModifiedBy>
  <cp:revision>62</cp:revision>
  <dcterms:created xsi:type="dcterms:W3CDTF">2022-05-09T10:22:00Z</dcterms:created>
  <dcterms:modified xsi:type="dcterms:W3CDTF">2026-01-29T10:55:00Z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0x0101008EDF628242BE124BA3E64340338C8AFE</vt:lpwstr>
  </property>
  <property fmtid="{D5CDD505-2E9C-101B-9397-08002B2CF9AE}" pid="3" name="MediaServiceImageTags">
    <vt:lpwstr/>
  </property>
</Properties>
</file>